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Педиатрия (ПП)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Педиатрия (ПП) | Записей: 1 | Кейс: 2 | Вопросов: 12</w:t>
      </w:r>
    </w:p>
    <w:p>
      <w:r>
        <w:br w:type="page"/>
      </w:r>
    </w:p>
    <w:p>
      <w:pPr>
        <w:pStyle w:val="Heading1"/>
      </w:pPr>
      <w:r>
        <w:t>Педиатрия (ПП)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Педиатрия (ПП)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Вызов на дом к ребенку 7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Повышение температуры тела, боли в горле, заложенность носа, увеличение лимфоузлов на шее.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Заболел 5 дней назад с повышения температуры тела до фебрильных цифр, болей в горле. На 2-й день болезни осмотрен педиатром, поставлен диагноз «Лакунарная ангина», назначен Аугментин. В последующие дни температура тела сохранялась до 39,6-39,90С, боли в горле, появилась заложенность носа, со скудным отделяемым. Гнусавость голоса. Мать заметила отечность век и припухлость в области шеи, сыпь на лице и шее.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Растет и развивается по возрасту. В анамнезе частые ОРВИ с БОС, пневмония, энтеровирусная инфекция, ветряная оспа. В 6 лет – был на стационарном лечении с диагнозом «Сальмонеллез, тяжелая форма».</w:t>
      </w:r>
    </w:p>
    <w:p>
      <w:pPr>
        <w:spacing w:after="58"/>
      </w:pPr>
      <w:r>
        <w:rPr>
          <w:b w:val="0"/>
          <w:i w:val="0"/>
        </w:rPr>
        <w:t>* Аллергоанамнез – атопический дерматит, пищевая аллергия на белок коровьего молока.</w:t>
      </w:r>
    </w:p>
    <w:p>
      <w:pPr>
        <w:spacing w:after="58"/>
      </w:pPr>
      <w:r>
        <w:rPr>
          <w:b w:val="0"/>
          <w:i w:val="0"/>
        </w:rPr>
        <w:t>* Привит по индивидуальному графику. Живут в отдельной квартире, других детей нет.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Мальчик 7 лет, Рост 116 см, вес 20 кг.</w:t>
      </w:r>
    </w:p>
    <w:p>
      <w:pPr>
        <w:spacing w:after="58"/>
      </w:pPr>
      <w:r>
        <w:rPr>
          <w:b w:val="0"/>
          <w:i w:val="0"/>
        </w:rPr>
        <w:t>* На момент осмотра: состояние среднетяжелое, вялый, адинамичный, сонливый. Пьет неохотно, аппетит снижен. Лихорадка 39,40С. Пастозность лица и отечность век.</w:t>
      </w:r>
    </w:p>
    <w:p>
      <w:pPr>
        <w:spacing w:after="58"/>
      </w:pPr>
      <w:r>
        <w:rPr>
          <w:b w:val="0"/>
          <w:i w:val="0"/>
        </w:rPr>
        <w:t>* Дышит открытым ртом, губы сухие потрескавшиеся. «Храпит» во время сна.</w:t>
      </w:r>
    </w:p>
    <w:p>
      <w:pPr>
        <w:spacing w:after="58"/>
      </w:pPr>
      <w:r>
        <w:rPr>
          <w:b w:val="0"/>
          <w:i w:val="0"/>
        </w:rPr>
        <w:t>* На неизменном фоне кожи лица, шеи, груди, животе, спине элементы яркой пятнисто-папулезной сыпи, местами сливного характера, на конечностях единичные элементы, выражен кожный зуд.</w:t>
      </w:r>
    </w:p>
    <w:p>
      <w:pPr>
        <w:spacing w:after="58"/>
      </w:pPr>
      <w:r>
        <w:rPr>
          <w:b w:val="0"/>
          <w:i w:val="0"/>
        </w:rPr>
        <w:t>* Носовое дыхание значительно затруднено, со скудным слизисто-гнойным отделяемым.</w:t>
      </w:r>
    </w:p>
    <w:p>
      <w:pPr>
        <w:spacing w:after="58"/>
      </w:pPr>
      <w:r>
        <w:rPr>
          <w:b w:val="0"/>
          <w:i w:val="0"/>
        </w:rPr>
        <w:t>* На слизистой ротоглотки отмечается яркая разлитая гиперемия, небные миндалины увеличены до 2-3 степени с беловато-желтыми наложениями, покрывающими всю поверхность миндалин и не выходящими за пределы.</w:t>
      </w:r>
    </w:p>
    <w:p>
      <w:pPr>
        <w:spacing w:after="58"/>
      </w:pPr>
      <w:r>
        <w:rPr>
          <w:b w:val="0"/>
          <w:i w:val="0"/>
        </w:rPr>
        <w:t>* Визуализируются шейные лимфоузлы: переднешейные «пакетами» до 3,0х4,0 см, плотные, подвижные, безболезненные, заднешейные–до 2,0 см, множественные, подвижные, безболезненные. Тоны сердца ясные, ритмичные, тахикардия, ЧСС-116/мин. Дыхание в легких жесткое, проводится во всех отделах легких, хрипов нет. ЧД-24/мин. Живот мягкий, безболезненный, доступен глубокой пальпации. Печень пальпируется из-под края реберной дуги на 3,5 см, селезенка – на 4,0 см. Стул был 2 дня назад оформленный, диурез снижен, цвет мочи насыщенный. Менингиальной и очаговой симптоматики нет.</w:t>
      </w:r>
    </w:p>
    <w:p>
      <w:r>
        <w:drawing>
          <wp:inline xmlns:a="http://schemas.openxmlformats.org/drawingml/2006/main" xmlns:pic="http://schemas.openxmlformats.org/drawingml/2006/picture">
            <wp:extent cx="5303520" cy="396751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ec7a9288f7028251b8aa577118c07fdb48150a7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6751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r>
        <w:drawing>
          <wp:inline xmlns:a="http://schemas.openxmlformats.org/drawingml/2006/main" xmlns:pic="http://schemas.openxmlformats.org/drawingml/2006/picture">
            <wp:extent cx="5303520" cy="4975208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8987ec37b4f89e7848f5e8af60105a719220ffa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97520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необходимым для постановки диагноза лабораторным методам обследования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кровь на «толстую каплю»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клинический анализ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рентгенография органов грудной клетки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кровь на ИФА к микоплазме и хламидиям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серологическое обследование крови (IgM, IgG) к герпесвирусным инфекциям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общий анализ мочи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клинический анализ крови; серологическое обследование крови (IgM, IgG) к герпесвирусным инфекциям</w:t>
      </w:r>
    </w:p>
    <w:p>
      <w:pPr>
        <w:ind w:left="504"/>
      </w:pPr>
      <w:r>
        <w:rPr>
          <w:b w:val="0"/>
          <w:i/>
        </w:rPr>
        <w:t>Характерен умеренный лейкоцитоз (12-25 × 109 /л), лимфомоноцитоз до 80-90%, относительная нейтропения со сдвигом влево. Часто обнаруживают плазматические клетки. СОЭ увеличивается до 20-30 мм/ч. Особенно характерно появление атипичных мононуклеаров с первых дней болезни или в ее разгаре. Количество их варьирует от 10 до 50%, как правило, они обнаруживаются в течение 10-20 сут, т.е. могут быть выявлены в двух анализах, взятых с интервалом 5-7 сут.</w:t>
        <w:br/>
        <w:br/>
        <w:t>Инфекционные болезни : национальное руководство / под ред. Н. Д. Ющука, Ю. Я. Венгерова. - 3-е изд. ,перераб. и доп. - Москва : ГЭОТАР-Медиа, 2023. - 1104 с. (Серия "Национальные руководства") - ISBN 978-5-9704-7481-5.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Помимо исследования картины крови, диагностика основывается на обнаружении гетерофильных антител и специфических антител к ЭБВ.</w:t>
        <w:br/>
        <w:br/>
        <w:t>Инфекционные болезни : национальное руководство / под ред. Н. Д. Ющука, Ю. Я. Венгерова. - 3-е изд. ,перераб. и доп. - Москва : ГЭОТАР-Медиа, 2023. - 1104 с. (Серия "Национальные руководства") - ISBN 978-5-9704-7481-5.</w:t>
        <w:br/>
        <w:br/>
      </w:r>
      <w:hyperlink r:id="rId1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 необходимым для постановки диагноза дополнительным лабораторным методам обследования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полимеразная цепная реакция к герпесвирусным инфекция (кровь, мазок-зев)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посев из ВДП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биохимический анализ крови для оценки функции печени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посев мочи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посев крови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маркеры к вирусным гепатитам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полимеразная цепная реакция к герпесвирусным инфекция (кровь, мазок-зев); биохимический анализ крови для оценки функции печени</w:t>
      </w:r>
    </w:p>
    <w:p>
      <w:pPr>
        <w:ind w:left="504"/>
      </w:pPr>
      <w:r>
        <w:rPr>
          <w:b w:val="0"/>
          <w:i/>
        </w:rPr>
        <w:t>В настоящее время широко используется ПЦР для выявления в крови с первых дней болезни специфических фрагментов генома ЭБВ в крови, при поражении ЦНС - в спинно-мозговой жидкости.</w:t>
        <w:br/>
        <w:br/>
        <w:t>Инфекционные болезни : национальное руководство / под ред. Н. Д. Ющука, Ю. Я. Венгерова. - 3-е изд. ,перераб. и доп. - Москва : ГЭОТАР-Медиа, 2023. - 1104 с. (Серия "Национальные руководства") - ISBN 978-5-9704-7481-5.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Часто выявляют умеренное повышение активности АЛТ и АСТ, реже - потемнение мочи, легкую желтуху и гипербилирубинемию.</w:t>
        <w:br/>
        <w:br/>
        <w:t>Инфекционные болезни : национальное руководство / под ред. Н. Д. Ющука, Ю. Я. Венгерова. - 3-е изд. ,перераб. и доп. - Москва : ГЭОТАР-Медиа, 2023. - 1104 с. (Серия "Национальные руководства") - ISBN 978-5-9704-7481-5.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В данной клинической ситуации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Эпидемический паротит, тяжелая форма. Атопический дерматит в стадии обострения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Токсоплазмоз, тяжелая форма. Аллергическая сыпь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Инфекционный мононуклеоз, тяжелая форма. Аллергическая сыпь на аугментин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Лакунарная ангина, тяжелая форма. ОРВИ, ринофарингит. Аллергическая сыпь н/э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Инфекционный мононуклеоз, тяжелая форма. Аллергическая сыпь на аугментин</w:t>
      </w:r>
    </w:p>
    <w:p>
      <w:pPr>
        <w:ind w:left="504"/>
      </w:pPr>
      <w:r>
        <w:rPr>
          <w:b w:val="0"/>
          <w:i/>
        </w:rPr>
        <w:t>Вирусный инфекционный мононуклеоз, Эпштейна-Барр вирусный инфекционный мононуклеоз, болезнь Филатова -антропонозная инфекционная болезнь, вызываемая ЭБВ, преимущественно с аэрозольным механизмом передачи возбудителя. Характеризуется циклическим течением, лихорадкой, острым тонзиллитом, фарингитом, выраженным поражением лимфоидной ткани, гепатоспленомегалией, лимфомоноцитозом, появлением в крови атипичных мононуклеаров.</w:t>
        <w:br/>
        <w:br/>
        <w:t>Инфекционные болезни : национальное руководство / под ред. Н. Д. Ющука, Ю. Я. Венгерова. - 3-е изд. ,перераб. и доп. - Москва : ГЭОТАР-Медиа, 2023. - 1104 с. (Серия "Национальные руководства") - ISBN 978-5-9704-7481-5.</w:t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Из других симптомов болезни следует отметить сыпь, обычно папулезную. Она наблюдается у 10% больных, а при лечении ампициллином - у 80%.</w:t>
        <w:br/>
        <w:br/>
      </w:r>
      <w:hyperlink r:id="rId17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инфекционного мононуклеоза характерны следующие осложнения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обструктивный трахеобронхит, миокардит, пневмония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эндокардит, гломерулонефрит, лимфаденит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панкреатит, гастродуоденит, отит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интерстициальная пневмония, разрыв селезенки, тромбоцитопения, гемолитическая анемия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интерстициальная пневмония, разрыв селезенки, тромбоцитопения, гемолитическая анемия</w:t>
      </w:r>
    </w:p>
    <w:p>
      <w:pPr>
        <w:ind w:left="504"/>
      </w:pPr>
      <w:r>
        <w:rPr>
          <w:b w:val="0"/>
          <w:i/>
        </w:rPr>
        <w:t>Осложнения возникают редко. К гематологическим осложнениям относят аутоиммунную гемолитическую анемию, тромбоцитопению и гранулоцитопению. Неврологические осложнения: менингоэнцефалит, энцефалит, параличи черепных нервов, в том числе паралич Белла или прозоплегия (паралич мимической мускулатуры, обусловленный поражением лицевого нерва), синдром Гийена-Барре, полиневрит, поперечный миелит, психоз. Возможны кардиологические осложнения (перикардит, миокардит). Со стороны органов дыхания иногда отмечают интерстициальную пневмонию.</w:t>
        <w:br/>
        <w:br/>
        <w:t>Инфекционные болезни : национальное руководство / под ред. Н. Д. Ющука, Ю. Я. Венгерова. - 3-е изд. ,перераб. и доп. - Москва : ГЭОТАР-Медиа, 2023. - 1104 с. (Серия "Национальные руководства") - ISBN 978-5-9704-7481-5.</w:t>
        <w:br/>
        <w:br/>
      </w:r>
      <w:hyperlink r:id="rId1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В редких случаях на 2-3-й неделе заболевания происходит разрыв селезенки, сопровождаемый резкими, внезапно возникающими болями в животе. Единственный метод лечения в данном случае - спленэктомия.</w:t>
        <w:br/>
        <w:br/>
      </w:r>
      <w:hyperlink r:id="rId19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Лечение детей с инфекционным мононуклеозом проводят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общей палате педиатрического отделения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боксированном инфекционном отделении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амбулаторных условиях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отделении реанимации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амбулаторных условиях</w:t>
      </w:r>
    </w:p>
    <w:p>
      <w:pPr>
        <w:ind w:left="504"/>
      </w:pPr>
      <w:r>
        <w:rPr>
          <w:b w:val="0"/>
          <w:i/>
        </w:rPr>
        <w:t>Лечение ИМ чаще всего проводят в амбулаторных условиях.</w:t>
        <w:br/>
        <w:br/>
        <w:t>Инфекционные болезни : национальное руководство / под ред. Н. Д. Ющука, Ю. Я. Венгерова. - 3-е изд. ,перераб. и доп. - Москва : ГЭОТАР-Медиа, 2023. - 1104 с. (Серия "Национальные руководства") - ISBN 978-5-9704-7481-5.</w:t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Антибактериальная терапия при остром тонзиллите назначается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 поражении суставов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всем больным с явлениями острого тонзиллита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только в случае доказанной или высоко вероятной бактериальной этиологии тонзиллита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 подозрении на поражение нервной системы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только в случае доказанной или высоко вероятной бактериальной этиологии тонзиллита</w:t>
      </w:r>
    </w:p>
    <w:p>
      <w:pPr>
        <w:ind w:left="504"/>
      </w:pPr>
      <w:r>
        <w:rPr>
          <w:b w:val="0"/>
          <w:i/>
        </w:rPr>
        <w:t>Рекомендуется назначать антибактериальные препараты системного действия только в случае доказанной бактериальной инфекции.</w:t>
        <w:br/>
        <w:br/>
      </w:r>
      <w:hyperlink r:id="rId21">
        <w:r>
          <w:rPr>
            <w:color w:val="0F766E"/>
            <w:u w:val="single"/>
          </w:rPr>
          <w:t>Клинические рекомендации Минздрава России. Острый тонзиллит и фарингит (Острый тонзиллофарингит), 2021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При инфекционном мононуклеозе из-за побочных реакций (экзантемы) не показаны антибиотики из группы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аминогликозидов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макролидов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сульфаниламидов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аминопенициллинов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аминопенициллинов</w:t>
      </w:r>
    </w:p>
    <w:p>
      <w:pPr>
        <w:ind w:left="504"/>
      </w:pPr>
      <w:r>
        <w:rPr>
          <w:b w:val="0"/>
          <w:i/>
        </w:rPr>
        <w:t>Необходимо помнить, что при инфекционном мононуклеозе возможно развитие так называемой «ампицилиновой» или «амоксициллиновой» сыпи.</w:t>
        <w:br/>
        <w:br/>
      </w:r>
      <w:hyperlink r:id="rId21">
        <w:r>
          <w:rPr>
            <w:color w:val="0F766E"/>
            <w:u w:val="single"/>
          </w:rPr>
          <w:t>Клинические рекомендации Минздрава России. Острый тонзиллит и фарингит (Острый тонзиллофарингит), 2021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Ампициллин противопоказан из-за возникновения у 80% больных сыпи.</w:t>
        <w:br/>
        <w:br/>
        <w:t>Инфекционные болезни : национальное руководство / под ред. Н. Д. Ющука, Ю. Я. Венгерова. - 3-е изд. ,перераб. и доп. - Москва : ГЭОТАР-Медиа, 2023. - 1104 с. (Серия "Национальные руководства") - ISBN 978-5-9704-7481-5.</w:t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У детей в качестве жаропонижающих средств используются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парацетамол и ибупрофен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анальгин и парацетамол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ибупрофен и нимесулид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кетопрофен и ибупрофен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парацетамол и ибупрофен</w:t>
      </w:r>
    </w:p>
    <w:p>
      <w:pPr>
        <w:ind w:left="504"/>
      </w:pPr>
      <w:r>
        <w:rPr>
          <w:b w:val="0"/>
          <w:i/>
        </w:rPr>
        <w:t>С целью снижения температуры тела у детей рекомендуются к применению только два препарата – парацетамол до 60 мг/кг/сут или ибупрофен до 30 мг/кг/сут вследствие доказанной безопасности.</w:t>
        <w:br/>
        <w:br/>
      </w:r>
      <w:hyperlink r:id="rId25">
        <w:r>
          <w:rPr>
            <w:color w:val="0F766E"/>
            <w:u w:val="single"/>
          </w:rPr>
          <w:t>Клинические рекомендации Минздрава России. Острая респираторная вирусная инфекция (ОРВИ). 2022 г.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Дифференциальную диагностику инфекционного мононуклеоза следует проводить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фелинозом, боррелиозом, кандидозом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малярией, лептоспирозом, геморрагическими лихорадками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сальмонеллезом, энтеровирусной инфекцией, орнитозом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дифтерией ротоглотки, БГСА-ангиной (тонзиллитом), ВИЧ (мононуклеозоподобный синдром)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дифтерией ротоглотки, БГСА-ангиной (тонзиллитом), ВИЧ (мононуклеозоподобный синдром)</w:t>
      </w:r>
    </w:p>
    <w:p>
      <w:pPr>
        <w:ind w:left="504"/>
      </w:pPr>
      <w:r>
        <w:rPr>
          <w:b w:val="0"/>
          <w:i/>
        </w:rPr>
        <w:t>Необходимо дифференцировать с лихорадочными заболеваниями, протекающими с ЛАП и гепатолиенальным синдромом, с синдромом острого тонзиллита и с наличием атипичных мононуклеаров в крови.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2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Дифференциальная диагностика проводится с аденовирусной инфекцией, корью, краснухой, ЦМВИ (мононуклеозоподобная форма), ВИЧ (мононуклеозоподобный синдром), острой ангиной, дифтерией ротоглотки (локализованная, токсическая), доброкачественным лимфоретикулезом, лимфогранулематозом.</w:t>
        <w:br/>
        <w:br/>
        <w:t>Инфекционные болезни : национальное руководство / под ред. Н. Д. Ющука, Ю. Я. Венгерова. - 3-е изд. ,перераб. и доп. - Москва : ГЭОТАР-Медиа, 2023. - 1104 с. (Серия "Национальные руководства") - ISBN 978-5-9704-7481-5.</w:t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Антигенная структура вируса Эпштейн-Барра включает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капсидный, ранний и ядерный антигены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О- и М-антиген, нейраминидазу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О-, Н- и К-антигенны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Vi-антиген, филаментозный гемагглютинин, протективные агглютинины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капсидный, ранний и ядерный антигены</w:t>
      </w:r>
    </w:p>
    <w:p>
      <w:pPr>
        <w:ind w:left="504"/>
      </w:pPr>
      <w:r>
        <w:rPr>
          <w:b w:val="0"/>
          <w:i/>
        </w:rPr>
        <w:t>Антитела (IgM) к капсидному антигену при инфекционном мононуклеозе обнаруживаются с конца инкубационного периода, они определяются не более 2-3 мес. IgG к капсидному антигену появляются в остром периоде инфекции и сохраняются пожизненно. Антитела к ранним антигенам (IgM) появляются в разгаре болезни у 70-80% больных и быстро исчезают, а антитела к IgG сохраняются длительно. Повышение титра антител к ранним антигенам характерно для реактивации ЭБВ-инфекции и для опухолей, обусловленных этим вирусом. Антитела против ядерного антигена появляются через 6 мес после инфицирования и сохраняются в невысоких титрах пожизненно.</w:t>
        <w:br/>
        <w:br/>
        <w:t>Инфекционные болезни : национальное руководство / под ред. Н. Д. Ющука, Ю. Я. Венгерова. - 3-е изд. ,перераб. и доп. - Москва : ГЭОТАР-Медиа, 2023. - 1104 с. (Серия "Национальные руководства") - ISBN 978-5-9704-7481-5.</w:t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При инфекционном мононуклеозе с поражением печени показано соблюдение диеты в течение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пожизненно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6 месяцев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 лет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8 месяцев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 месяцев</w:t>
      </w:r>
    </w:p>
    <w:p>
      <w:pPr>
        <w:ind w:left="504"/>
      </w:pPr>
      <w:r>
        <w:rPr>
          <w:b w:val="0"/>
          <w:i/>
        </w:rPr>
        <w:t>При выявлении гепатита - соблюдение диеты № 5 в течение 6 мес после перенесенного ЭБВ-ИМ.</w:t>
        <w:br/>
        <w:br/>
        <w:t>Инфекционные болезни : национальное руководство / под ред. Н. Д. Ющука, Ю. Я. Венгерова. - 3-е изд. ,перераб. и доп. - Москва : ГЭОТАР-Медиа, 2023. - 1104 с. (Серия "Национальные руководства") - ISBN 978-5-9704-7481-5.</w:t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Пациенту после перенесенного инфекционного мононуклеоза ограничивают физическую нагрузку на +_________+ месяца(ев)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</w:t>
      </w:r>
    </w:p>
    <w:p>
      <w:pPr>
        <w:ind w:left="504"/>
      </w:pPr>
      <w:r>
        <w:rPr>
          <w:b w:val="0"/>
          <w:i/>
        </w:rPr>
        <w:t>Ограничение физической нагрузки на 3 мес.</w:t>
        <w:br/>
        <w:br/>
        <w:t>Инфекционные болезни : национальное руководство / под ред. Н. Д. Ющука, Ю. Я. Венгерова. - 3-е изд. ,перераб. и доп. - Москва : ГЭОТАР-Медиа, 2023. - 1104 с. (Серия "Национальные руководства") - ISBN 978-5-9704-7481-5.</w:t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Relationship Id="rId10" Type="http://schemas.openxmlformats.org/officeDocument/2006/relationships/image" Target="media/image2.jpg"/><Relationship Id="rId11" Type="http://schemas.openxmlformats.org/officeDocument/2006/relationships/hyperlink" Target="https://library.mededtech.ru/rest/documents/ISBN9785970474815/?anchor=paragraph_koi7sf#paragraph_koi7sf" TargetMode="External"/><Relationship Id="rId12" Type="http://schemas.openxmlformats.org/officeDocument/2006/relationships/hyperlink" Target="https://library.mededtech.ru/rest/documents/ISBN9785970474815/?anchor=paragraph_iik4j0#paragraph_iik4j0" TargetMode="External"/><Relationship Id="rId13" Type="http://schemas.openxmlformats.org/officeDocument/2006/relationships/hyperlink" Target="https://library.mededtech.ru/rest/documents/ISBN9785970474815/?anchor=table21-27#table21-27" TargetMode="External"/><Relationship Id="rId14" Type="http://schemas.openxmlformats.org/officeDocument/2006/relationships/hyperlink" Target="https://library.mededtech.ru/rest/documents/ISBN9785970474815/?anchor=paragraph_qi1v5u#paragraph_qi1v5u" TargetMode="External"/><Relationship Id="rId15" Type="http://schemas.openxmlformats.org/officeDocument/2006/relationships/hyperlink" Target="https://library.mededtech.ru/rest/documents/ISBN9785970474815/?anchor=paragraph_07elh8#paragraph_07elh8" TargetMode="External"/><Relationship Id="rId16" Type="http://schemas.openxmlformats.org/officeDocument/2006/relationships/hyperlink" Target="https://library.mededtech.ru/rest/documents/ISBN9785970474815/?anchor=paragraph_1ai0gt#paragraph_1ai0gt" TargetMode="External"/><Relationship Id="rId17" Type="http://schemas.openxmlformats.org/officeDocument/2006/relationships/hyperlink" Target="https://library.mededtech.ru/rest/documents/ISBN9785970474815/?anchor=paragraph_02ifjl#paragraph_02ifjl" TargetMode="External"/><Relationship Id="rId18" Type="http://schemas.openxmlformats.org/officeDocument/2006/relationships/hyperlink" Target="https://library.mededtech.ru/rest/documents/ISBN9785970474815/?anchor=paragraph_8d6ajv#paragraph_8d6ajv" TargetMode="External"/><Relationship Id="rId19" Type="http://schemas.openxmlformats.org/officeDocument/2006/relationships/hyperlink" Target="https://library.mededtech.ru/rest/documents/ISBN9785970474815/?anchor=paragraph_11itn1#paragraph_11itn1" TargetMode="External"/><Relationship Id="rId20" Type="http://schemas.openxmlformats.org/officeDocument/2006/relationships/hyperlink" Target="https://library.mededtech.ru/rest/documents/ISBN9785970474815/?anchor=paragraph_pbivi2#paragraph_pbivi2" TargetMode="External"/><Relationship Id="rId21" Type="http://schemas.openxmlformats.org/officeDocument/2006/relationships/hyperlink" Target="https://library.mededtech.ru/rest/documents/KP306/" TargetMode="External"/><Relationship Id="rId22" Type="http://schemas.openxmlformats.org/officeDocument/2006/relationships/hyperlink" Target="https://library.mededtech.ru/rest/documents/KP306/#list_item_k8ubta" TargetMode="External"/><Relationship Id="rId23" Type="http://schemas.openxmlformats.org/officeDocument/2006/relationships/hyperlink" Target="https://library.mededtech.ru/rest/documents/KP306/#paragraph_b3vv5k" TargetMode="External"/><Relationship Id="rId24" Type="http://schemas.openxmlformats.org/officeDocument/2006/relationships/hyperlink" Target="https://library.mededtech.ru/rest/documents/ISBN9785970474815/?anchor=paragraph_52njqe#paragraph_52njqe" TargetMode="External"/><Relationship Id="rId25" Type="http://schemas.openxmlformats.org/officeDocument/2006/relationships/hyperlink" Target="https://library.mededtech.ru/rest/documents/KP25/" TargetMode="External"/><Relationship Id="rId26" Type="http://schemas.openxmlformats.org/officeDocument/2006/relationships/hyperlink" Target="https://library.mededtech.ru/rest/documents/KP25/#list_item_rq5qdo" TargetMode="External"/><Relationship Id="rId27" Type="http://schemas.openxmlformats.org/officeDocument/2006/relationships/hyperlink" Target="https://library.mededtech.ru/rest/documents/ISBN9785970465196/?anchor=paragraph_btbi8q#paragraph_btbi8q" TargetMode="External"/><Relationship Id="rId28" Type="http://schemas.openxmlformats.org/officeDocument/2006/relationships/hyperlink" Target="https://library.mededtech.ru/rest/documents/ISBN9785970474815/?anchor=table21-28#table21-28" TargetMode="External"/><Relationship Id="rId29" Type="http://schemas.openxmlformats.org/officeDocument/2006/relationships/hyperlink" Target="https://library.mededtech.ru/rest/documents/ISBN9785970474815/?anchor=paragraph_s8o664#paragraph_s8o664" TargetMode="External"/><Relationship Id="rId30" Type="http://schemas.openxmlformats.org/officeDocument/2006/relationships/hyperlink" Target="https://library.mededtech.ru/rest/documents/ISBN9785970474815/?anchor=paragraph_inmrkd#paragraph_inmrk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